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7980" w:rsidP="2B5437E5" w:rsidRDefault="1FF9E345" w14:paraId="45F4FD7B" w14:textId="03035589">
      <w:pPr>
        <w:jc w:val="center"/>
      </w:pPr>
      <w:r w:rsidRPr="2B5437E5">
        <w:rPr>
          <w:b/>
          <w:bCs/>
          <w:sz w:val="28"/>
          <w:szCs w:val="28"/>
        </w:rPr>
        <w:t>Podklady, které subjekt posuzování shody dokládá společně s žádostí o autorizaci</w:t>
      </w:r>
    </w:p>
    <w:p w:rsidR="00987980" w:rsidP="2B5437E5" w:rsidRDefault="00987980" w14:paraId="309EFBE7" w14:textId="4DA3F717">
      <w:pPr>
        <w:jc w:val="both"/>
        <w:rPr>
          <w:b/>
          <w:bCs/>
          <w:sz w:val="28"/>
          <w:szCs w:val="28"/>
        </w:rPr>
      </w:pPr>
    </w:p>
    <w:p w:rsidR="00987980" w:rsidP="2B5437E5" w:rsidRDefault="64A670C0" w14:paraId="672A6659" w14:textId="00CCF33B">
      <w:pPr>
        <w:pStyle w:val="Odstavecseseznamem"/>
        <w:numPr>
          <w:ilvl w:val="0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  <w:color w:val="000000" w:themeColor="text1"/>
        </w:rPr>
        <w:t>Formální prohlášení o akreditaci vydané NAB</w:t>
      </w:r>
      <w:r w:rsidRPr="2B5437E5" w:rsidR="64B7EB68">
        <w:rPr>
          <w:rFonts w:eastAsiaTheme="minorEastAsia"/>
          <w:color w:val="000000" w:themeColor="text1"/>
        </w:rPr>
        <w:t xml:space="preserve"> (Národní akreditační orgán)</w:t>
      </w:r>
      <w:r w:rsidRPr="2B5437E5">
        <w:rPr>
          <w:rFonts w:eastAsiaTheme="minorEastAsia"/>
          <w:color w:val="000000" w:themeColor="text1"/>
        </w:rPr>
        <w:t>, nebo pokud toto prohlášení ještě není k dispozici, prohlášení NAB o tom, že žádost je v současné době vyřizována nebo že probíhá proces akreditace</w:t>
      </w:r>
    </w:p>
    <w:p w:rsidR="64A670C0" w:rsidP="2B5437E5" w:rsidRDefault="64A670C0" w14:paraId="20764AD3" w14:textId="47A6FE9C">
      <w:pPr>
        <w:pStyle w:val="Odstavecseseznamem"/>
        <w:numPr>
          <w:ilvl w:val="0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  <w:color w:val="000000" w:themeColor="text1"/>
        </w:rPr>
        <w:t>Dokumentace, kterou má předložit ITSEF v souvislosti s odstavcem 6.2.1 bodem 42</w:t>
      </w:r>
      <w:r w:rsidRPr="2B5437E5" w:rsidR="5B31593C">
        <w:rPr>
          <w:rFonts w:eastAsiaTheme="minorEastAsia"/>
          <w:color w:val="000000" w:themeColor="text1"/>
        </w:rPr>
        <w:t xml:space="preserve"> Guidance k EUCC k autorizaci CAB</w:t>
      </w:r>
      <w:r w:rsidRPr="2B5437E5">
        <w:rPr>
          <w:rStyle w:val="Znakapoznpodarou"/>
          <w:rFonts w:eastAsiaTheme="minorEastAsia"/>
          <w:color w:val="000000" w:themeColor="text1"/>
        </w:rPr>
        <w:footnoteReference w:id="1"/>
      </w:r>
      <w:r w:rsidRPr="2B5437E5" w:rsidR="360266B8">
        <w:rPr>
          <w:rFonts w:eastAsiaTheme="minorEastAsia"/>
          <w:color w:val="000000" w:themeColor="text1"/>
        </w:rPr>
        <w:t>:</w:t>
      </w:r>
    </w:p>
    <w:p w:rsidR="360266B8" w:rsidP="2B5437E5" w:rsidRDefault="360266B8" w14:paraId="430FF2EA" w14:textId="549838C4">
      <w:pPr>
        <w:pStyle w:val="Odstavecseseznamem"/>
        <w:numPr>
          <w:ilvl w:val="1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  <w:color w:val="000000" w:themeColor="text1"/>
        </w:rPr>
        <w:t>Kategorie produktů v oblasti informačních a komunikačních technologií (IKT) a profily ochrany, pro které se žádá o autorizaci</w:t>
      </w:r>
      <w:r w:rsidRPr="2B5437E5">
        <w:rPr>
          <w:rFonts w:eastAsiaTheme="minorEastAsia"/>
        </w:rPr>
        <w:t>;</w:t>
      </w:r>
    </w:p>
    <w:p w:rsidR="360266B8" w:rsidP="2B5437E5" w:rsidRDefault="360266B8" w14:paraId="1E7FB3CC" w14:textId="5DD5EB5C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Strategické organizační plány související s rozsahem povolení;</w:t>
      </w:r>
    </w:p>
    <w:p w:rsidR="360266B8" w:rsidP="2B5437E5" w:rsidRDefault="360266B8" w14:paraId="6D9D0257" w14:textId="3F01879D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Vrcholové vedení a jeho odpovědnosti,</w:t>
      </w:r>
    </w:p>
    <w:p w:rsidR="360266B8" w:rsidP="2B5437E5" w:rsidRDefault="360266B8" w14:paraId="6D5D40DE" w14:textId="2CABE32B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Zdroje, systém řízení kompetencí, klíčové kritické role a financování těchto rolí;</w:t>
      </w:r>
    </w:p>
    <w:p w:rsidR="360266B8" w:rsidP="2B5437E5" w:rsidRDefault="360266B8" w14:paraId="0221F92F" w14:textId="0E56EE7E">
      <w:pPr>
        <w:pStyle w:val="Odstavecseseznamem"/>
        <w:numPr>
          <w:ilvl w:val="1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</w:rPr>
        <w:t>Oddělení zajišťující běžný provoz a jejich odpovědnosti;</w:t>
      </w:r>
    </w:p>
    <w:p w:rsidR="4885E990" w:rsidP="2B5437E5" w:rsidRDefault="4885E990" w14:paraId="22AD7616" w14:textId="1C288885">
      <w:pPr>
        <w:pStyle w:val="Odstavecseseznamem"/>
        <w:numPr>
          <w:ilvl w:val="1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</w:rPr>
        <w:t>Technické řízení poskytující přehled o činnostech v oblasti posuzování technické shody (zahrnuje to odpovědnosti v oblasti IT a OT, používané systémy a jejich architekturu i související závislosti na externích poskytovatelích služeb),</w:t>
      </w:r>
    </w:p>
    <w:p w:rsidR="4885E990" w:rsidP="2B5437E5" w:rsidRDefault="4885E990" w14:paraId="0F68415B" w14:textId="00A1334C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Role/funkce, které nesou odpovědnost za řízení technické způsobilosti a plánování jejich nástupnictví;</w:t>
      </w:r>
    </w:p>
    <w:p w:rsidR="4885E990" w:rsidP="2B5437E5" w:rsidRDefault="4885E990" w14:paraId="41E844CC" w14:textId="4C5E722E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Řízení kvality, zajišťující, že všechny zásady, postupy a opatření jsou zavedeny a uchovávány v souladu se zásadami uchovávání a jsou pravidelně vyhodnocovány a auditovány a podléhají cyklu PDCA</w:t>
      </w:r>
      <w:r w:rsidRPr="2B5437E5" w:rsidR="25BE1C09">
        <w:rPr>
          <w:rFonts w:eastAsiaTheme="minorEastAsia"/>
        </w:rPr>
        <w:t xml:space="preserve"> </w:t>
      </w:r>
      <w:r w:rsidRPr="2B5437E5" w:rsidR="25BE1C09">
        <w:rPr>
          <w:rFonts w:eastAsiaTheme="minorEastAsia"/>
          <w:lang w:val="en-US"/>
        </w:rPr>
        <w:t>(A Plan-Do-Check-Act cycle)</w:t>
      </w:r>
      <w:r w:rsidRPr="2B5437E5">
        <w:rPr>
          <w:rFonts w:eastAsiaTheme="minorEastAsia"/>
        </w:rPr>
        <w:t>;</w:t>
      </w:r>
    </w:p>
    <w:p w:rsidR="4885E990" w:rsidP="2B5437E5" w:rsidRDefault="4885E990" w14:paraId="0B1C9077" w14:textId="2D5C5C32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Řízení shody, včetně postupů pro řešení a nápravu neshod a případů nedodržení předpisů;</w:t>
      </w:r>
    </w:p>
    <w:p w:rsidR="4885E990" w:rsidP="2B5437E5" w:rsidRDefault="4885E990" w14:paraId="3E425DF6" w14:textId="44FAC386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Řízení kyberbezpečnosti v rámci ITSEF, v jehož rámci je v nejvyšším vedení zřízena pozice s odpovědností za kyberbezpečnost a pravomocí definovat a zavádět požadované</w:t>
      </w:r>
      <w:r w:rsidRPr="2B5437E5" w:rsidR="4027A751">
        <w:rPr>
          <w:rFonts w:eastAsiaTheme="minorEastAsia"/>
        </w:rPr>
        <w:t xml:space="preserve"> </w:t>
      </w:r>
      <w:r w:rsidRPr="2B5437E5">
        <w:rPr>
          <w:rFonts w:eastAsiaTheme="minorEastAsia"/>
        </w:rPr>
        <w:t>zásady a postupy i technická a organizační opatření (TOM) pro</w:t>
      </w:r>
      <w:r w:rsidRPr="2B5437E5" w:rsidR="27CEE530">
        <w:rPr>
          <w:rFonts w:eastAsiaTheme="minorEastAsia"/>
        </w:rPr>
        <w:t xml:space="preserve"> </w:t>
      </w:r>
      <w:r w:rsidRPr="2B5437E5">
        <w:rPr>
          <w:rFonts w:eastAsiaTheme="minorEastAsia"/>
        </w:rPr>
        <w:t>účinnou ochranu citlivých a důvěrných informací, jakož i pro</w:t>
      </w:r>
      <w:r w:rsidRPr="2B5437E5" w:rsidR="66115AFA">
        <w:rPr>
          <w:rFonts w:eastAsiaTheme="minorEastAsia"/>
        </w:rPr>
        <w:t xml:space="preserve"> </w:t>
      </w:r>
      <w:r w:rsidRPr="2B5437E5">
        <w:rPr>
          <w:rFonts w:eastAsiaTheme="minorEastAsia"/>
        </w:rPr>
        <w:t>výměnu tohoto druhu informací s příslušným certifikačním orgánem (CB), zákazníkem a případně s</w:t>
      </w:r>
      <w:r w:rsidRPr="2B5437E5" w:rsidR="5D932333">
        <w:rPr>
          <w:rFonts w:eastAsiaTheme="minorEastAsia"/>
        </w:rPr>
        <w:t xml:space="preserve"> </w:t>
      </w:r>
      <w:r w:rsidRPr="2B5437E5">
        <w:rPr>
          <w:rFonts w:eastAsiaTheme="minorEastAsia"/>
        </w:rPr>
        <w:t>národním akreditačním orgánem (NCCA);</w:t>
      </w:r>
    </w:p>
    <w:p w:rsidR="4885E990" w:rsidP="2B5437E5" w:rsidRDefault="4885E990" w14:paraId="5E309158" w14:textId="6A1DFF0F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Jakékoli zadávání subdodávek nebo najímání externích pracovníků organizací ITSEF pro její činnosti musí být</w:t>
      </w:r>
      <w:r w:rsidRPr="2B5437E5" w:rsidR="7F8BD955">
        <w:rPr>
          <w:rFonts w:eastAsiaTheme="minorEastAsia"/>
        </w:rPr>
        <w:t xml:space="preserve"> </w:t>
      </w:r>
      <w:r w:rsidRPr="2B5437E5">
        <w:rPr>
          <w:rFonts w:eastAsiaTheme="minorEastAsia"/>
        </w:rPr>
        <w:t>popsáno a je třeba uvést související smluvní povinnosti, včetně</w:t>
      </w:r>
      <w:r w:rsidRPr="2B5437E5" w:rsidR="66C6D69A">
        <w:rPr>
          <w:rFonts w:eastAsiaTheme="minorEastAsia"/>
        </w:rPr>
        <w:t xml:space="preserve"> </w:t>
      </w:r>
      <w:r w:rsidRPr="2B5437E5">
        <w:rPr>
          <w:rFonts w:eastAsiaTheme="minorEastAsia"/>
        </w:rPr>
        <w:t>celkové odpovědnosti organizace ITSEF. Organizace ITSEF dbá na to, aby externí subjekty splňovaly</w:t>
      </w:r>
      <w:r w:rsidRPr="2B5437E5" w:rsidR="452B9398">
        <w:rPr>
          <w:rFonts w:eastAsiaTheme="minorEastAsia"/>
        </w:rPr>
        <w:t xml:space="preserve"> </w:t>
      </w:r>
      <w:r w:rsidRPr="2B5437E5">
        <w:rPr>
          <w:rFonts w:eastAsiaTheme="minorEastAsia"/>
        </w:rPr>
        <w:t>požadavky organizace ITSEF na oprávnění pro subdodávané nebo najímané služby;</w:t>
      </w:r>
    </w:p>
    <w:p w:rsidR="6A903FE7" w:rsidP="2B5437E5" w:rsidRDefault="6A903FE7" w14:paraId="64ECE8B3" w14:textId="6CE49784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Finanční informace týkající se organizace ITSEF, které poskytují údaje o finančních zdrojích, včetně přehledu finančních závislostí a předpokládaných finančních rizik, prostředků vynaložených na udržování kompetencí zaměstnanců, včetně vzdělávání a rozvoje, a prostředků vynaložených na kyberbezpečnost, včetně technických a organizačních opatření souvisejících s ochranou informací a školením zaměstnanců v oblasti kyberbezpečnosti.</w:t>
      </w:r>
    </w:p>
    <w:p w:rsidR="360266B8" w:rsidP="2B5437E5" w:rsidRDefault="360266B8" w14:paraId="19A3EBD7" w14:textId="002E4891">
      <w:pPr>
        <w:pStyle w:val="Odstavecseseznamem"/>
        <w:numPr>
          <w:ilvl w:val="0"/>
          <w:numId w:val="1"/>
        </w:numPr>
        <w:jc w:val="both"/>
        <w:rPr>
          <w:rFonts w:eastAsiaTheme="minorEastAsia"/>
          <w:color w:val="000000" w:themeColor="text1"/>
        </w:rPr>
      </w:pPr>
      <w:r w:rsidRPr="2B5437E5">
        <w:rPr>
          <w:rFonts w:eastAsiaTheme="minorEastAsia"/>
          <w:color w:val="000000" w:themeColor="text1"/>
        </w:rPr>
        <w:t xml:space="preserve">V </w:t>
      </w:r>
      <w:r w:rsidRPr="2B5437E5" w:rsidR="64A670C0">
        <w:rPr>
          <w:rFonts w:eastAsiaTheme="minorEastAsia"/>
          <w:color w:val="000000" w:themeColor="text1"/>
        </w:rPr>
        <w:t>případě certifikačního orgánu (CB) dokumentace, kterou je třeba předložit podle odstavce 6.2.2 bodu 45</w:t>
      </w:r>
      <w:r w:rsidRPr="2B5437E5" w:rsidR="49DFC92D">
        <w:rPr>
          <w:rFonts w:eastAsiaTheme="minorEastAsia"/>
          <w:color w:val="000000" w:themeColor="text1"/>
        </w:rPr>
        <w:t xml:space="preserve"> Guidance k EUCC k autorizaci CAB</w:t>
      </w:r>
      <w:r w:rsidRPr="2B5437E5">
        <w:rPr>
          <w:rStyle w:val="Znakapoznpodarou"/>
          <w:rFonts w:eastAsiaTheme="minorEastAsia"/>
          <w:color w:val="000000" w:themeColor="text1"/>
        </w:rPr>
        <w:footnoteReference w:id="2"/>
      </w:r>
      <w:r w:rsidRPr="2B5437E5" w:rsidR="49DFC92D">
        <w:rPr>
          <w:rFonts w:eastAsiaTheme="minorEastAsia"/>
          <w:color w:val="000000" w:themeColor="text1"/>
        </w:rPr>
        <w:t>:</w:t>
      </w:r>
    </w:p>
    <w:p w:rsidR="49DFC92D" w:rsidP="2B5437E5" w:rsidRDefault="49DFC92D" w14:paraId="161F3B88" w14:textId="7A2AF9D2">
      <w:pPr>
        <w:pStyle w:val="Odstavecseseznamem"/>
        <w:numPr>
          <w:ilvl w:val="1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</w:rPr>
        <w:t xml:space="preserve">Kategorie produktů ICT a profily ochrany, pro které se o </w:t>
      </w:r>
      <w:r w:rsidRPr="2B5437E5" w:rsidR="39C59001">
        <w:rPr>
          <w:rFonts w:eastAsiaTheme="minorEastAsia"/>
        </w:rPr>
        <w:t xml:space="preserve">autorizaci </w:t>
      </w:r>
      <w:r w:rsidRPr="2B5437E5">
        <w:rPr>
          <w:rFonts w:eastAsiaTheme="minorEastAsia"/>
        </w:rPr>
        <w:t>žádá;</w:t>
      </w:r>
    </w:p>
    <w:p w:rsidR="49DFC92D" w:rsidP="2B5437E5" w:rsidRDefault="49DFC92D" w14:paraId="11DCC876" w14:textId="1C127023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Strategické organizační plány související s rozsahem povolení;</w:t>
      </w:r>
    </w:p>
    <w:p w:rsidR="49DFC92D" w:rsidP="2B5437E5" w:rsidRDefault="49DFC92D" w14:paraId="43B3DA1A" w14:textId="1673F445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Vrcholové vedení a jeho odpovědnosti,</w:t>
      </w:r>
    </w:p>
    <w:p w:rsidR="49DFC92D" w:rsidP="2B5437E5" w:rsidRDefault="49DFC92D" w14:paraId="1D28B5EE" w14:textId="18D08E63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Zdroje, systém řízení kompetencí, klíčové kritické role a financování těchto rolí;</w:t>
      </w:r>
    </w:p>
    <w:p w:rsidR="49DFC92D" w:rsidP="2B5437E5" w:rsidRDefault="49DFC92D" w14:paraId="12EDD67B" w14:textId="6D7939FC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Oddělení zajišťující každodenní provoz a jejich odpovědnosti;</w:t>
      </w:r>
    </w:p>
    <w:p w:rsidR="49DFC92D" w:rsidP="2B5437E5" w:rsidRDefault="49DFC92D" w14:paraId="2781CE56" w14:textId="31AE5DD1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Technické vedení poskytující přehled o činnostech v oblasti technické certifikace (zahrnuje to související odpovědnosti v oblasti IT a OT, používané systémy a jejich architekturu a související závislosti na externích poskytovatelích služeb);</w:t>
      </w:r>
    </w:p>
    <w:p w:rsidR="49DFC92D" w:rsidP="2B5437E5" w:rsidRDefault="49DFC92D" w14:paraId="0640B192" w14:textId="2C61E5D4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Role, které nesou odpovědnost za řízení technické kompetence a jejich plánování nástupnictví;</w:t>
      </w:r>
    </w:p>
    <w:p w:rsidR="49DFC92D" w:rsidP="2B5437E5" w:rsidRDefault="49DFC92D" w14:paraId="48DBCAA2" w14:textId="46705996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  <w:lang w:val="en-US"/>
        </w:rPr>
      </w:pPr>
      <w:r w:rsidRPr="2B5437E5">
        <w:rPr>
          <w:rFonts w:eastAsiaTheme="minorEastAsia"/>
        </w:rPr>
        <w:t>Řízení kvality, zajišťující, že všechny politiky, postupy a opatření jsou zavedeny a uchovávány v souladu s politikami uchovávání a jsou pravidelně vyhodnocovány a</w:t>
      </w:r>
      <w:r w:rsidRPr="2B5437E5" w:rsidR="7AFEDFBC">
        <w:rPr>
          <w:rFonts w:eastAsiaTheme="minorEastAsia"/>
        </w:rPr>
        <w:t xml:space="preserve"> </w:t>
      </w:r>
      <w:r w:rsidRPr="2B5437E5">
        <w:rPr>
          <w:rFonts w:eastAsiaTheme="minorEastAsia"/>
          <w:lang w:val="en-US"/>
        </w:rPr>
        <w:t>auditovány a podléhají cyklu PDCA</w:t>
      </w:r>
      <w:r w:rsidRPr="2B5437E5" w:rsidR="27369C57">
        <w:rPr>
          <w:rFonts w:eastAsiaTheme="minorEastAsia"/>
          <w:lang w:val="en-US"/>
        </w:rPr>
        <w:t xml:space="preserve"> (A Plan-Do-Check-Act cycle)</w:t>
      </w:r>
      <w:r w:rsidRPr="2B5437E5">
        <w:rPr>
          <w:rFonts w:eastAsiaTheme="minorEastAsia"/>
          <w:lang w:val="en-US"/>
        </w:rPr>
        <w:t>;</w:t>
      </w:r>
    </w:p>
    <w:p w:rsidR="49DFC92D" w:rsidP="2B5437E5" w:rsidRDefault="49DFC92D" w14:paraId="5F2E08B4" w14:textId="6AC6A8E5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Řízení shody, včetně postupů pro řešení a nápravu</w:t>
      </w:r>
      <w:r w:rsidRPr="2B5437E5" w:rsidR="15EF42D4">
        <w:rPr>
          <w:rFonts w:eastAsiaTheme="minorEastAsia"/>
        </w:rPr>
        <w:t xml:space="preserve"> </w:t>
      </w:r>
      <w:r w:rsidRPr="2B5437E5">
        <w:rPr>
          <w:rFonts w:eastAsiaTheme="minorEastAsia"/>
        </w:rPr>
        <w:t>neshod a případů nedodržení předpisů;</w:t>
      </w:r>
    </w:p>
    <w:p w:rsidR="08B7178B" w:rsidP="2B5437E5" w:rsidRDefault="08B7178B" w14:paraId="4F87881D" w14:textId="43977DBD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Systém řízení kyberbezpečnosti, v jehož rámci je v rámci vrcholového vedení zřízena pozice s odpovědností za kyberbezpečnost a pravomocí definovat a zavádět požadované zásady a postupy, jakož i technická a organizační opatření (TOM) pro účinnou ochranu citlivých a důvěrných informací, a také pro bezpečnou výměnu tohoto druhu informací s ITSEF, včetně forem spolupráce, se zákazníkem a případně s NCCA;</w:t>
      </w:r>
    </w:p>
    <w:p w:rsidR="08B7178B" w:rsidP="2B5437E5" w:rsidRDefault="08B7178B" w14:paraId="0596381B" w14:textId="12D9EF08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Jakékoli zadávání subdodávek nebo najímání externích pracovníků organizací ITSEF pro její činnosti musí být popsáno a je třeba uvést související smluvní povinnosti, včetně celkové odpovědnosti organizace ITSEF. Organizace ITSEF dbá na to, aby externí subjekty splňovaly požadavky organizace ITSEF na autorizaci pro subdodávané nebo najímané služby;</w:t>
      </w:r>
    </w:p>
    <w:p w:rsidR="08B7178B" w:rsidP="2B5437E5" w:rsidRDefault="08B7178B" w14:paraId="6432D0E2" w14:textId="3FA0F9AE">
      <w:pPr>
        <w:pStyle w:val="Odstavecseseznamem"/>
        <w:numPr>
          <w:ilvl w:val="1"/>
          <w:numId w:val="1"/>
        </w:numPr>
        <w:spacing w:before="240" w:after="240"/>
        <w:jc w:val="both"/>
        <w:rPr>
          <w:rFonts w:eastAsiaTheme="minorEastAsia"/>
        </w:rPr>
      </w:pPr>
      <w:r w:rsidRPr="2B5437E5">
        <w:rPr>
          <w:rFonts w:eastAsiaTheme="minorEastAsia"/>
        </w:rPr>
        <w:t>Finanční informace týkající se organizace certifikačního orgánu, poskytující údaje o finančních zdrojích pro prvky, které spadají do rozsahu oprávnění, včetně přehledu finančních závislostí a předpokládaných finančních rizik, prostředků vynaložených na udržování kompetencí zaměstnanců, včetně vzdělávání a rozvoje, prostředků vynaložených na kyberbezpečnost, včetně technických a organizačních opatření souvisejících s ochranou informací a školením zaměstnanců v oblasti kyberbezpečnosti;</w:t>
      </w:r>
    </w:p>
    <w:p w:rsidR="64A670C0" w:rsidP="2B5437E5" w:rsidRDefault="64A670C0" w14:paraId="32AA80D5" w14:textId="5388E047">
      <w:pPr>
        <w:pStyle w:val="Odstavecseseznamem"/>
        <w:numPr>
          <w:ilvl w:val="0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  <w:color w:val="000000" w:themeColor="text1"/>
        </w:rPr>
        <w:t xml:space="preserve">Dokumentace prokazující systém řízení kompetencí, která zahrnuje: </w:t>
      </w:r>
      <w:r w:rsidRPr="2B5437E5">
        <w:rPr>
          <w:rFonts w:eastAsiaTheme="minorEastAsia"/>
        </w:rPr>
        <w:t xml:space="preserve"> </w:t>
      </w:r>
    </w:p>
    <w:p w:rsidR="64A670C0" w:rsidP="2B5437E5" w:rsidRDefault="64A670C0" w14:paraId="4719D5E4" w14:textId="08057159">
      <w:pPr>
        <w:pStyle w:val="Odstavecseseznamem"/>
        <w:numPr>
          <w:ilvl w:val="1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  <w:color w:val="000000" w:themeColor="text1"/>
        </w:rPr>
        <w:t>Požadované technické kompetence pro zkušební a související hodnotící činnosti prováděné ITSEF v souladu s článkem 22 EUCC a specifikované v příloze II, s přihlédnutím ke kapitole 4, bodům 35 a 36</w:t>
      </w:r>
      <w:r w:rsidRPr="2B5437E5" w:rsidR="1145A19F">
        <w:rPr>
          <w:rFonts w:eastAsiaTheme="minorEastAsia"/>
          <w:color w:val="000000" w:themeColor="text1"/>
        </w:rPr>
        <w:t xml:space="preserve"> Guidance k EUCC k autorizaci CAB</w:t>
      </w:r>
      <w:r w:rsidRPr="2B5437E5">
        <w:rPr>
          <w:rStyle w:val="Znakapoznpodarou"/>
          <w:rFonts w:eastAsiaTheme="minorEastAsia"/>
          <w:color w:val="000000" w:themeColor="text1"/>
        </w:rPr>
        <w:footnoteReference w:id="3"/>
      </w:r>
      <w:r w:rsidRPr="2B5437E5">
        <w:rPr>
          <w:rFonts w:eastAsiaTheme="minorEastAsia"/>
          <w:color w:val="000000" w:themeColor="text1"/>
        </w:rPr>
        <w:t xml:space="preserve">; </w:t>
      </w:r>
      <w:r w:rsidRPr="2B5437E5">
        <w:rPr>
          <w:rFonts w:eastAsiaTheme="minorEastAsia"/>
        </w:rPr>
        <w:t xml:space="preserve"> </w:t>
      </w:r>
    </w:p>
    <w:p w:rsidR="64A670C0" w:rsidP="2B5437E5" w:rsidRDefault="64A670C0" w14:paraId="4BCA2C44" w14:textId="730919B3">
      <w:pPr>
        <w:pStyle w:val="Odstavecseseznamem"/>
        <w:numPr>
          <w:ilvl w:val="1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  <w:color w:val="000000" w:themeColor="text1"/>
        </w:rPr>
        <w:t>Požadované technické kompetence pro zkušební a související hodnotící činnosti prováděné ITSEF v souladu s článkem 22 EUCC a specifikované v příloze II, s přihlédnutím ke kapitole 4, bodům 35 a 36</w:t>
      </w:r>
      <w:r w:rsidRPr="2B5437E5" w:rsidR="66D5D15E">
        <w:rPr>
          <w:rFonts w:eastAsiaTheme="minorEastAsia"/>
          <w:color w:val="000000" w:themeColor="text1"/>
        </w:rPr>
        <w:t xml:space="preserve"> Guidance k EUCC k autorizaci CAB</w:t>
      </w:r>
      <w:r w:rsidRPr="2B5437E5">
        <w:rPr>
          <w:rStyle w:val="Znakapoznpodarou"/>
          <w:rFonts w:eastAsiaTheme="minorEastAsia"/>
          <w:color w:val="000000" w:themeColor="text1"/>
        </w:rPr>
        <w:footnoteReference w:id="4"/>
      </w:r>
      <w:r w:rsidRPr="2B5437E5">
        <w:rPr>
          <w:rFonts w:eastAsiaTheme="minorEastAsia"/>
          <w:color w:val="000000" w:themeColor="text1"/>
        </w:rPr>
        <w:t xml:space="preserve">; </w:t>
      </w:r>
      <w:r w:rsidRPr="2B5437E5">
        <w:rPr>
          <w:rFonts w:eastAsiaTheme="minorEastAsia"/>
        </w:rPr>
        <w:t xml:space="preserve"> </w:t>
      </w:r>
    </w:p>
    <w:p w:rsidR="64A670C0" w:rsidP="2B5437E5" w:rsidRDefault="64A670C0" w14:paraId="51FC6547" w14:textId="69FE6B48">
      <w:pPr>
        <w:pStyle w:val="Odstavecseseznamem"/>
        <w:numPr>
          <w:ilvl w:val="1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  <w:color w:val="000000" w:themeColor="text1"/>
        </w:rPr>
        <w:t>Požadované technické kompetence pro činnosti certifikačního orgánu prováděné v souladu s článkem 21 EUCC a specifikované v odstavci 6.2.2, bodech 48 a 49, s přihlédnutím ke kapitole 5, bodům 35 a 36</w:t>
      </w:r>
      <w:r w:rsidRPr="2B5437E5" w:rsidR="6E38F238">
        <w:rPr>
          <w:rFonts w:eastAsiaTheme="minorEastAsia"/>
          <w:color w:val="000000" w:themeColor="text1"/>
        </w:rPr>
        <w:t xml:space="preserve"> Guidance k EUCC k autorizaci CAB</w:t>
      </w:r>
      <w:r w:rsidRPr="2B5437E5">
        <w:rPr>
          <w:rStyle w:val="Znakapoznpodarou"/>
          <w:rFonts w:eastAsiaTheme="minorEastAsia"/>
          <w:color w:val="000000" w:themeColor="text1"/>
        </w:rPr>
        <w:footnoteReference w:id="5"/>
      </w:r>
      <w:r w:rsidRPr="2B5437E5">
        <w:rPr>
          <w:rFonts w:eastAsiaTheme="minorEastAsia"/>
          <w:color w:val="000000" w:themeColor="text1"/>
        </w:rPr>
        <w:t xml:space="preserve">; </w:t>
      </w:r>
      <w:r w:rsidRPr="2B5437E5">
        <w:rPr>
          <w:rFonts w:eastAsiaTheme="minorEastAsia"/>
        </w:rPr>
        <w:t xml:space="preserve"> </w:t>
      </w:r>
    </w:p>
    <w:p w:rsidR="64A670C0" w:rsidP="2B5437E5" w:rsidRDefault="64A670C0" w14:paraId="0FE1882E" w14:textId="13F2101B">
      <w:pPr>
        <w:pStyle w:val="Odstavecseseznamem"/>
        <w:numPr>
          <w:ilvl w:val="1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  <w:color w:val="000000" w:themeColor="text1"/>
        </w:rPr>
        <w:t>Požadované kompetence pro technická a organizační opatření (TOM) pro certifikační orgán a ITSEF k účinné ochraně důvěrných a citlivých informací, konkrétně zaměřené na rizika související s jejich činnostmi prováděnými na úrovni zajištění „vysoká“ v souladu s kapitolou 10, odstavcem 10.1</w:t>
      </w:r>
      <w:r w:rsidRPr="2B5437E5" w:rsidR="7F37CC50">
        <w:rPr>
          <w:rFonts w:eastAsiaTheme="minorEastAsia"/>
          <w:color w:val="000000" w:themeColor="text1"/>
        </w:rPr>
        <w:t xml:space="preserve"> Guidance k EUCC k autorizaci CAB</w:t>
      </w:r>
      <w:r w:rsidRPr="2B5437E5">
        <w:rPr>
          <w:rStyle w:val="Znakapoznpodarou"/>
          <w:rFonts w:eastAsiaTheme="minorEastAsia"/>
          <w:color w:val="000000" w:themeColor="text1"/>
        </w:rPr>
        <w:footnoteReference w:id="6"/>
      </w:r>
      <w:r w:rsidRPr="2B5437E5">
        <w:rPr>
          <w:rFonts w:eastAsiaTheme="minorEastAsia"/>
          <w:color w:val="000000" w:themeColor="text1"/>
        </w:rPr>
        <w:t xml:space="preserve">. </w:t>
      </w:r>
      <w:r w:rsidRPr="2B5437E5">
        <w:rPr>
          <w:rFonts w:eastAsiaTheme="minorEastAsia"/>
        </w:rPr>
        <w:t xml:space="preserve"> </w:t>
      </w:r>
    </w:p>
    <w:p w:rsidR="64A670C0" w:rsidP="2B5437E5" w:rsidRDefault="64A670C0" w14:paraId="7695EC5F" w14:textId="16CB39B5">
      <w:pPr>
        <w:pStyle w:val="Odstavecseseznamem"/>
        <w:numPr>
          <w:ilvl w:val="0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  <w:color w:val="000000" w:themeColor="text1"/>
        </w:rPr>
        <w:t>Dokumentace prokazující soulad s požadovanými TOM pro certifikační orgán a ITSEF v souladu s kapitolou 10, odstavcem 10.2</w:t>
      </w:r>
      <w:r w:rsidRPr="2B5437E5" w:rsidR="622E5AF6">
        <w:rPr>
          <w:rFonts w:eastAsiaTheme="minorEastAsia"/>
          <w:color w:val="000000" w:themeColor="text1"/>
        </w:rPr>
        <w:t xml:space="preserve"> Guidance k EUCC k autorizaci CAB</w:t>
      </w:r>
      <w:r w:rsidRPr="2B5437E5">
        <w:rPr>
          <w:rStyle w:val="Znakapoznpodarou"/>
          <w:rFonts w:eastAsiaTheme="minorEastAsia"/>
          <w:color w:val="000000" w:themeColor="text1"/>
        </w:rPr>
        <w:footnoteReference w:id="7"/>
      </w:r>
      <w:r w:rsidRPr="2B5437E5">
        <w:rPr>
          <w:rFonts w:eastAsiaTheme="minorEastAsia"/>
          <w:color w:val="000000" w:themeColor="text1"/>
        </w:rPr>
        <w:t xml:space="preserve">; </w:t>
      </w:r>
      <w:r w:rsidRPr="2B5437E5">
        <w:rPr>
          <w:rFonts w:eastAsiaTheme="minorEastAsia"/>
        </w:rPr>
        <w:t xml:space="preserve"> </w:t>
      </w:r>
    </w:p>
    <w:p w:rsidR="64A670C0" w:rsidP="2B5437E5" w:rsidRDefault="64A670C0" w14:paraId="40BDB5AB" w14:textId="3D57805E">
      <w:pPr>
        <w:pStyle w:val="Odstavecseseznamem"/>
        <w:numPr>
          <w:ilvl w:val="0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  <w:color w:val="000000" w:themeColor="text1"/>
        </w:rPr>
        <w:t>Informace týkající se zprávy o autorizaci ITSEF v souladu s přílohou III</w:t>
      </w:r>
      <w:r w:rsidRPr="2B5437E5" w:rsidR="4735EEA1">
        <w:rPr>
          <w:rFonts w:eastAsiaTheme="minorEastAsia"/>
          <w:color w:val="000000" w:themeColor="text1"/>
        </w:rPr>
        <w:t xml:space="preserve"> Guidance k EUCC k autorizaci CAB</w:t>
      </w:r>
      <w:r w:rsidRPr="2B5437E5">
        <w:rPr>
          <w:rStyle w:val="Znakapoznpodarou"/>
          <w:rFonts w:eastAsiaTheme="minorEastAsia"/>
        </w:rPr>
        <w:footnoteReference w:id="8"/>
      </w:r>
    </w:p>
    <w:p w:rsidR="64A670C0" w:rsidP="2B5437E5" w:rsidRDefault="64A670C0" w14:paraId="6CF26A7D" w14:textId="15193ECF">
      <w:pPr>
        <w:pStyle w:val="Odstavecseseznamem"/>
        <w:numPr>
          <w:ilvl w:val="0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  <w:color w:val="000000" w:themeColor="text1"/>
        </w:rPr>
        <w:t xml:space="preserve">Pro udělení oprávnění certifikačnímu orgánu (CB): dokumentace prokazující, že certifikační orgán spolupracuje s oprávněnou organizací ITSEF. Ta by měla mimo jiné zahrnovat: </w:t>
      </w:r>
      <w:r w:rsidRPr="2B5437E5">
        <w:rPr>
          <w:rFonts w:eastAsiaTheme="minorEastAsia"/>
        </w:rPr>
        <w:t xml:space="preserve"> </w:t>
      </w:r>
    </w:p>
    <w:p w:rsidR="64A670C0" w:rsidP="2B5437E5" w:rsidRDefault="64A670C0" w14:paraId="19AE3593" w14:textId="14BBD9D8">
      <w:pPr>
        <w:pStyle w:val="Odstavecseseznamem"/>
        <w:numPr>
          <w:ilvl w:val="1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  <w:color w:val="000000" w:themeColor="text1"/>
        </w:rPr>
        <w:t xml:space="preserve">doklad o smlouvě upravující výměnu informací a příslušné podmínky; </w:t>
      </w:r>
      <w:r w:rsidRPr="2B5437E5">
        <w:rPr>
          <w:rFonts w:eastAsiaTheme="minorEastAsia"/>
        </w:rPr>
        <w:t xml:space="preserve"> </w:t>
      </w:r>
    </w:p>
    <w:p w:rsidR="64A670C0" w:rsidP="2B5437E5" w:rsidRDefault="64A670C0" w14:paraId="6DD85858" w14:textId="3604F822">
      <w:pPr>
        <w:pStyle w:val="Odstavecseseznamem"/>
        <w:numPr>
          <w:ilvl w:val="1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  <w:color w:val="000000" w:themeColor="text1"/>
        </w:rPr>
        <w:t xml:space="preserve">způsoby a oblasti spolupráce; </w:t>
      </w:r>
      <w:r w:rsidRPr="2B5437E5">
        <w:rPr>
          <w:rFonts w:eastAsiaTheme="minorEastAsia"/>
        </w:rPr>
        <w:t xml:space="preserve"> </w:t>
      </w:r>
    </w:p>
    <w:p w:rsidR="64A670C0" w:rsidP="2B5437E5" w:rsidRDefault="64A670C0" w14:paraId="0EC4781F" w14:textId="69D600A1">
      <w:pPr>
        <w:pStyle w:val="Odstavecseseznamem"/>
        <w:numPr>
          <w:ilvl w:val="1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  <w:color w:val="000000" w:themeColor="text1"/>
        </w:rPr>
        <w:t xml:space="preserve">postup pro opětovné použití důkazních podkladů v souladu s kapitolou 4, bodem 19, pocházejících od jiné CAB a způsob a podmínky výměny těchto informací; </w:t>
      </w:r>
      <w:r w:rsidRPr="2B5437E5">
        <w:rPr>
          <w:rFonts w:eastAsiaTheme="minorEastAsia"/>
        </w:rPr>
        <w:t xml:space="preserve"> </w:t>
      </w:r>
    </w:p>
    <w:p w:rsidR="64A670C0" w:rsidP="2B5437E5" w:rsidRDefault="64A670C0" w14:paraId="06DC84AA" w14:textId="3B7D932B">
      <w:pPr>
        <w:pStyle w:val="Odstavecseseznamem"/>
        <w:numPr>
          <w:ilvl w:val="1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  <w:color w:val="000000" w:themeColor="text1"/>
        </w:rPr>
        <w:t>právo certifikačního orgánu (CB) vyžádat si informace a navštívit ITSEF za účelem rozhodnutí o certifikaci</w:t>
      </w:r>
    </w:p>
    <w:p w:rsidR="64A670C0" w:rsidP="2B5437E5" w:rsidRDefault="64A670C0" w14:paraId="7A6A69DD" w14:textId="363E1541">
      <w:pPr>
        <w:pStyle w:val="Odstavecseseznamem"/>
        <w:numPr>
          <w:ilvl w:val="1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  <w:color w:val="000000" w:themeColor="text1"/>
        </w:rPr>
        <w:t xml:space="preserve">prvky spolupráce související s monitorováním shody certifikovaného výrobku (např. žádost certifikačního orgánu (CB) adresovaná ITSEF o podporu při postupu odběru vzorků nebo při postupu řešení zranitelností); </w:t>
      </w:r>
      <w:r w:rsidRPr="2B5437E5">
        <w:rPr>
          <w:rFonts w:eastAsiaTheme="minorEastAsia"/>
        </w:rPr>
        <w:t xml:space="preserve"> </w:t>
      </w:r>
    </w:p>
    <w:p w:rsidR="64A670C0" w:rsidP="2B5437E5" w:rsidRDefault="64A670C0" w14:paraId="7DE67FD1" w14:textId="4A680EBD">
      <w:pPr>
        <w:pStyle w:val="Odstavecseseznamem"/>
        <w:numPr>
          <w:ilvl w:val="0"/>
          <w:numId w:val="1"/>
        </w:numPr>
        <w:jc w:val="both"/>
        <w:rPr>
          <w:rFonts w:eastAsiaTheme="minorEastAsia"/>
        </w:rPr>
      </w:pPr>
      <w:r w:rsidRPr="2B5437E5">
        <w:rPr>
          <w:rFonts w:eastAsiaTheme="minorEastAsia"/>
          <w:color w:val="000000" w:themeColor="text1"/>
        </w:rPr>
        <w:t xml:space="preserve">Pokud je certifikační orgán (CB) a/nebo nezávislá zkušební a certifikační organizace (ITSEF) již oprávněn/a pro jiný rozsah, předložení dokladů týkajících se stávajícího oprávnění a příslušné zprávy o oprávnění </w:t>
      </w:r>
      <w:r w:rsidRPr="2B5437E5">
        <w:rPr>
          <w:rFonts w:eastAsiaTheme="minorEastAsia"/>
        </w:rPr>
        <w:t xml:space="preserve"> </w:t>
      </w:r>
    </w:p>
    <w:sectPr w:rsidR="64A670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E664E" w:rsidP="00A20425" w:rsidRDefault="00DE664E" w14:paraId="2373633E" w14:textId="77777777">
      <w:pPr>
        <w:spacing w:after="0" w:line="240" w:lineRule="auto"/>
      </w:pPr>
      <w:r>
        <w:separator/>
      </w:r>
    </w:p>
  </w:endnote>
  <w:endnote w:type="continuationSeparator" w:id="0">
    <w:p w:rsidR="00DE664E" w:rsidP="00A20425" w:rsidRDefault="00DE664E" w14:paraId="192E6A0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3DFB" w:rsidRDefault="001E3DFB" w14:paraId="6212EBE5" w14:textId="226CCC7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3DFB" w:rsidRDefault="001E3DFB" w14:paraId="4C30A0F2" w14:textId="6E0073F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3DFB" w:rsidRDefault="001E3DFB" w14:paraId="5005F95A" w14:textId="59AD72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E664E" w:rsidP="00A20425" w:rsidRDefault="00DE664E" w14:paraId="04903A61" w14:textId="77777777">
      <w:pPr>
        <w:spacing w:after="0" w:line="240" w:lineRule="auto"/>
      </w:pPr>
      <w:r>
        <w:separator/>
      </w:r>
    </w:p>
  </w:footnote>
  <w:footnote w:type="continuationSeparator" w:id="0">
    <w:p w:rsidR="00DE664E" w:rsidP="00A20425" w:rsidRDefault="00DE664E" w14:paraId="5477BA7D" w14:textId="77777777">
      <w:pPr>
        <w:spacing w:after="0" w:line="240" w:lineRule="auto"/>
      </w:pPr>
      <w:r>
        <w:continuationSeparator/>
      </w:r>
    </w:p>
  </w:footnote>
  <w:footnote w:id="1">
    <w:p w:rsidR="2B5437E5" w:rsidP="2B5437E5" w:rsidRDefault="2B5437E5" w14:paraId="579657A4" w14:textId="39D05C93">
      <w:pPr>
        <w:pStyle w:val="Textpoznpodarou"/>
      </w:pPr>
      <w:r w:rsidRPr="2B5437E5">
        <w:rPr>
          <w:rStyle w:val="Znakapoznpodarou"/>
        </w:rPr>
        <w:footnoteRef/>
      </w:r>
      <w:r>
        <w:t xml:space="preserve"> </w:t>
      </w:r>
      <w:hyperlink r:id="rId1">
        <w:r w:rsidRPr="2B5437E5">
          <w:rPr>
            <w:rStyle w:val="Hypertextovodkaz"/>
          </w:rPr>
          <w:t>EUCC Guidelines Authorisation of CABs - European Union Cybersecurity Certification</w:t>
        </w:r>
      </w:hyperlink>
    </w:p>
  </w:footnote>
  <w:footnote w:id="2">
    <w:p w:rsidR="2B5437E5" w:rsidP="2B5437E5" w:rsidRDefault="2B5437E5" w14:paraId="12736D02" w14:textId="069B9C49">
      <w:pPr>
        <w:pStyle w:val="Textpoznpodarou"/>
      </w:pPr>
      <w:r w:rsidRPr="2B5437E5">
        <w:rPr>
          <w:rStyle w:val="Znakapoznpodarou"/>
        </w:rPr>
        <w:footnoteRef/>
      </w:r>
      <w:r>
        <w:t xml:space="preserve"> tamtéž</w:t>
      </w:r>
    </w:p>
  </w:footnote>
  <w:footnote w:id="3">
    <w:p w:rsidR="2B5437E5" w:rsidP="2B5437E5" w:rsidRDefault="2B5437E5" w14:paraId="486803C0" w14:textId="3B481C9E">
      <w:pPr>
        <w:pStyle w:val="Textpoznpodarou"/>
      </w:pPr>
      <w:r w:rsidRPr="2B5437E5">
        <w:rPr>
          <w:rStyle w:val="Znakapoznpodarou"/>
        </w:rPr>
        <w:footnoteRef/>
      </w:r>
      <w:r>
        <w:t xml:space="preserve"> tamtéž</w:t>
      </w:r>
    </w:p>
  </w:footnote>
  <w:footnote w:id="4">
    <w:p w:rsidR="2B5437E5" w:rsidP="2B5437E5" w:rsidRDefault="2B5437E5" w14:paraId="41D1446A" w14:textId="7CF85271">
      <w:pPr>
        <w:pStyle w:val="Textpoznpodarou"/>
      </w:pPr>
      <w:r w:rsidRPr="2B5437E5">
        <w:rPr>
          <w:rStyle w:val="Znakapoznpodarou"/>
        </w:rPr>
        <w:footnoteRef/>
      </w:r>
      <w:r>
        <w:t xml:space="preserve"> tamtéž</w:t>
      </w:r>
    </w:p>
  </w:footnote>
  <w:footnote w:id="5">
    <w:p w:rsidR="2B5437E5" w:rsidP="2B5437E5" w:rsidRDefault="2B5437E5" w14:paraId="5B3CCF90" w14:textId="37A5ADAD">
      <w:pPr>
        <w:pStyle w:val="Textpoznpodarou"/>
      </w:pPr>
      <w:r w:rsidRPr="2B5437E5">
        <w:rPr>
          <w:rStyle w:val="Znakapoznpodarou"/>
        </w:rPr>
        <w:footnoteRef/>
      </w:r>
      <w:r>
        <w:t xml:space="preserve"> tamtéž</w:t>
      </w:r>
    </w:p>
  </w:footnote>
  <w:footnote w:id="6">
    <w:p w:rsidR="2B5437E5" w:rsidP="2B5437E5" w:rsidRDefault="2B5437E5" w14:paraId="122226EA" w14:textId="21643C80">
      <w:pPr>
        <w:pStyle w:val="Textpoznpodarou"/>
      </w:pPr>
      <w:r w:rsidRPr="2B5437E5">
        <w:rPr>
          <w:rStyle w:val="Znakapoznpodarou"/>
        </w:rPr>
        <w:footnoteRef/>
      </w:r>
      <w:r>
        <w:t xml:space="preserve"> tamtéž</w:t>
      </w:r>
    </w:p>
  </w:footnote>
  <w:footnote w:id="7">
    <w:p w:rsidR="2B5437E5" w:rsidP="2B5437E5" w:rsidRDefault="2B5437E5" w14:paraId="7A3B45F6" w14:textId="1E341B79">
      <w:pPr>
        <w:pStyle w:val="Textpoznpodarou"/>
      </w:pPr>
      <w:r w:rsidRPr="2B5437E5">
        <w:rPr>
          <w:rStyle w:val="Znakapoznpodarou"/>
        </w:rPr>
        <w:footnoteRef/>
      </w:r>
      <w:r>
        <w:t xml:space="preserve"> tamtéž</w:t>
      </w:r>
    </w:p>
  </w:footnote>
  <w:footnote w:id="8">
    <w:p w:rsidR="2B5437E5" w:rsidP="2B5437E5" w:rsidRDefault="2B5437E5" w14:paraId="1EB4EB6C" w14:textId="30DD57E4">
      <w:pPr>
        <w:pStyle w:val="Textpoznpodarou"/>
      </w:pPr>
      <w:r w:rsidRPr="2B5437E5">
        <w:rPr>
          <w:rStyle w:val="Znakapoznpodarou"/>
        </w:rPr>
        <w:footnoteRef/>
      </w:r>
      <w:r>
        <w:t xml:space="preserve"> tamtéž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3DFB" w:rsidRDefault="001E3DFB" w14:paraId="1B653543" w14:textId="41E06C7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0171A" w:rsidRDefault="00D0171A" w14:paraId="5A39BBE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3DFB" w:rsidRDefault="001E3DFB" w14:paraId="7F7156EE" w14:textId="1AB2A98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192F"/>
    <w:multiLevelType w:val="hybridMultilevel"/>
    <w:tmpl w:val="FFFFFFFF"/>
    <w:lvl w:ilvl="0" w:tplc="38741818">
      <w:start w:val="1"/>
      <w:numFmt w:val="decimal"/>
      <w:lvlText w:val="%1)"/>
      <w:lvlJc w:val="left"/>
      <w:pPr>
        <w:ind w:left="720" w:hanging="360"/>
      </w:pPr>
    </w:lvl>
    <w:lvl w:ilvl="1" w:tplc="CBF63C5C">
      <w:start w:val="1"/>
      <w:numFmt w:val="lowerLetter"/>
      <w:lvlText w:val="%2."/>
      <w:lvlJc w:val="left"/>
      <w:pPr>
        <w:ind w:left="1440" w:hanging="360"/>
      </w:pPr>
    </w:lvl>
    <w:lvl w:ilvl="2" w:tplc="12465126">
      <w:start w:val="1"/>
      <w:numFmt w:val="lowerRoman"/>
      <w:lvlText w:val="%3."/>
      <w:lvlJc w:val="right"/>
      <w:pPr>
        <w:ind w:left="2160" w:hanging="180"/>
      </w:pPr>
    </w:lvl>
    <w:lvl w:ilvl="3" w:tplc="A61031DE">
      <w:start w:val="1"/>
      <w:numFmt w:val="decimal"/>
      <w:lvlText w:val="%4."/>
      <w:lvlJc w:val="left"/>
      <w:pPr>
        <w:ind w:left="2880" w:hanging="360"/>
      </w:pPr>
    </w:lvl>
    <w:lvl w:ilvl="4" w:tplc="762614B6">
      <w:start w:val="1"/>
      <w:numFmt w:val="lowerLetter"/>
      <w:lvlText w:val="%5."/>
      <w:lvlJc w:val="left"/>
      <w:pPr>
        <w:ind w:left="3600" w:hanging="360"/>
      </w:pPr>
    </w:lvl>
    <w:lvl w:ilvl="5" w:tplc="CC067A10">
      <w:start w:val="1"/>
      <w:numFmt w:val="lowerRoman"/>
      <w:lvlText w:val="%6."/>
      <w:lvlJc w:val="right"/>
      <w:pPr>
        <w:ind w:left="4320" w:hanging="180"/>
      </w:pPr>
    </w:lvl>
    <w:lvl w:ilvl="6" w:tplc="3346647E">
      <w:start w:val="1"/>
      <w:numFmt w:val="decimal"/>
      <w:lvlText w:val="%7."/>
      <w:lvlJc w:val="left"/>
      <w:pPr>
        <w:ind w:left="5040" w:hanging="360"/>
      </w:pPr>
    </w:lvl>
    <w:lvl w:ilvl="7" w:tplc="A7E6AA7C">
      <w:start w:val="1"/>
      <w:numFmt w:val="lowerLetter"/>
      <w:lvlText w:val="%8."/>
      <w:lvlJc w:val="left"/>
      <w:pPr>
        <w:ind w:left="5760" w:hanging="360"/>
      </w:pPr>
    </w:lvl>
    <w:lvl w:ilvl="8" w:tplc="E9340CF2">
      <w:start w:val="1"/>
      <w:numFmt w:val="lowerRoman"/>
      <w:lvlText w:val="%9."/>
      <w:lvlJc w:val="right"/>
      <w:pPr>
        <w:ind w:left="6480" w:hanging="180"/>
      </w:pPr>
    </w:lvl>
  </w:abstractNum>
  <w:num w:numId="1" w16cid:durableId="260723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/>
  <w:hideGrammaticalErrors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789"/>
    <w:rsid w:val="00051F31"/>
    <w:rsid w:val="000F315B"/>
    <w:rsid w:val="001822F0"/>
    <w:rsid w:val="00185023"/>
    <w:rsid w:val="001E3DFB"/>
    <w:rsid w:val="002939F9"/>
    <w:rsid w:val="002C55A2"/>
    <w:rsid w:val="00317D9F"/>
    <w:rsid w:val="004B520A"/>
    <w:rsid w:val="0054711B"/>
    <w:rsid w:val="005743B1"/>
    <w:rsid w:val="00726B65"/>
    <w:rsid w:val="007E3C68"/>
    <w:rsid w:val="0080174E"/>
    <w:rsid w:val="00831311"/>
    <w:rsid w:val="008E0C33"/>
    <w:rsid w:val="00987980"/>
    <w:rsid w:val="00996E2F"/>
    <w:rsid w:val="009A4617"/>
    <w:rsid w:val="009F585D"/>
    <w:rsid w:val="00A20425"/>
    <w:rsid w:val="00A5044C"/>
    <w:rsid w:val="00A84546"/>
    <w:rsid w:val="00B22921"/>
    <w:rsid w:val="00B41D67"/>
    <w:rsid w:val="00B7516A"/>
    <w:rsid w:val="00CA5727"/>
    <w:rsid w:val="00CD4789"/>
    <w:rsid w:val="00D0171A"/>
    <w:rsid w:val="00D82CCD"/>
    <w:rsid w:val="00DE664E"/>
    <w:rsid w:val="00E42DA9"/>
    <w:rsid w:val="00E43138"/>
    <w:rsid w:val="00F750A3"/>
    <w:rsid w:val="00FC46ED"/>
    <w:rsid w:val="03997FFB"/>
    <w:rsid w:val="0479CC5A"/>
    <w:rsid w:val="08B7178B"/>
    <w:rsid w:val="0A67CCF7"/>
    <w:rsid w:val="0C2119A7"/>
    <w:rsid w:val="0D6E1421"/>
    <w:rsid w:val="10D35377"/>
    <w:rsid w:val="1145A19F"/>
    <w:rsid w:val="155FBE02"/>
    <w:rsid w:val="15EF42D4"/>
    <w:rsid w:val="18B5564A"/>
    <w:rsid w:val="1B159981"/>
    <w:rsid w:val="1D8FDF14"/>
    <w:rsid w:val="1FF9E345"/>
    <w:rsid w:val="20AF4684"/>
    <w:rsid w:val="24382363"/>
    <w:rsid w:val="25BE1C09"/>
    <w:rsid w:val="2704DA4B"/>
    <w:rsid w:val="27369C57"/>
    <w:rsid w:val="27CEE530"/>
    <w:rsid w:val="28E047F6"/>
    <w:rsid w:val="29088CDC"/>
    <w:rsid w:val="2A0C1803"/>
    <w:rsid w:val="2B5437E5"/>
    <w:rsid w:val="306A2726"/>
    <w:rsid w:val="3123F6F7"/>
    <w:rsid w:val="313E69A8"/>
    <w:rsid w:val="343C022C"/>
    <w:rsid w:val="3530B555"/>
    <w:rsid w:val="360266B8"/>
    <w:rsid w:val="36151A11"/>
    <w:rsid w:val="36DFF5D2"/>
    <w:rsid w:val="37191AA7"/>
    <w:rsid w:val="3732AC33"/>
    <w:rsid w:val="39100C4D"/>
    <w:rsid w:val="39C59001"/>
    <w:rsid w:val="3C60F7E4"/>
    <w:rsid w:val="4027A751"/>
    <w:rsid w:val="4090FDEA"/>
    <w:rsid w:val="40FE237F"/>
    <w:rsid w:val="41900C70"/>
    <w:rsid w:val="42D00CCF"/>
    <w:rsid w:val="43E68857"/>
    <w:rsid w:val="452B9398"/>
    <w:rsid w:val="467F9FBF"/>
    <w:rsid w:val="46E96497"/>
    <w:rsid w:val="4735EEA1"/>
    <w:rsid w:val="47A8DEAB"/>
    <w:rsid w:val="4860CC16"/>
    <w:rsid w:val="4885E990"/>
    <w:rsid w:val="49DFC92D"/>
    <w:rsid w:val="4D271633"/>
    <w:rsid w:val="4FE446D6"/>
    <w:rsid w:val="5207ACFE"/>
    <w:rsid w:val="53B7901B"/>
    <w:rsid w:val="58FA2DD7"/>
    <w:rsid w:val="5A2D0737"/>
    <w:rsid w:val="5B31593C"/>
    <w:rsid w:val="5D932333"/>
    <w:rsid w:val="607C8DBC"/>
    <w:rsid w:val="60DF1A78"/>
    <w:rsid w:val="622436E9"/>
    <w:rsid w:val="622E5AF6"/>
    <w:rsid w:val="64A670C0"/>
    <w:rsid w:val="64B7EB68"/>
    <w:rsid w:val="66115AFA"/>
    <w:rsid w:val="66B989A2"/>
    <w:rsid w:val="66C6D69A"/>
    <w:rsid w:val="66D5D15E"/>
    <w:rsid w:val="691B5AAD"/>
    <w:rsid w:val="6A903FE7"/>
    <w:rsid w:val="6D4E2464"/>
    <w:rsid w:val="6E38F238"/>
    <w:rsid w:val="703BDFCD"/>
    <w:rsid w:val="76E83549"/>
    <w:rsid w:val="7AFEDFBC"/>
    <w:rsid w:val="7B59F1A1"/>
    <w:rsid w:val="7F37CC50"/>
    <w:rsid w:val="7F8BD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7BC3C"/>
  <w15:chartTrackingRefBased/>
  <w15:docId w15:val="{68F152FE-3C62-4A0A-B8AA-E5372DCC2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20425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A20425"/>
  </w:style>
  <w:style w:type="paragraph" w:styleId="Zpat">
    <w:name w:val="footer"/>
    <w:basedOn w:val="Normln"/>
    <w:link w:val="ZpatChar"/>
    <w:uiPriority w:val="99"/>
    <w:unhideWhenUsed/>
    <w:rsid w:val="00A20425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A20425"/>
  </w:style>
  <w:style w:type="paragraph" w:styleId="Textbubliny">
    <w:name w:val="Balloon Text"/>
    <w:basedOn w:val="Normln"/>
    <w:link w:val="TextbublinyChar"/>
    <w:uiPriority w:val="99"/>
    <w:semiHidden/>
    <w:unhideWhenUsed/>
    <w:rsid w:val="00D01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D0171A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5743B1"/>
    <w:pPr>
      <w:spacing w:after="0" w:line="240" w:lineRule="auto"/>
    </w:pPr>
    <w:rPr>
      <w:rFonts w:cs="Times New Roman" w:eastAsiaTheme="minorEastAsia"/>
      <w:lang w:eastAsia="cs-CZ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stavecseseznamem">
    <w:name w:val="List Paragraph"/>
    <w:basedOn w:val="Normln"/>
    <w:uiPriority w:val="34"/>
    <w:qFormat/>
    <w:rsid w:val="2B5437E5"/>
    <w:pPr>
      <w:ind w:left="720"/>
      <w:contextualSpacing/>
    </w:pPr>
  </w:style>
  <w:style w:type="paragraph" w:styleId="Textpoznpodarou">
    <w:name w:val="footnote text"/>
    <w:basedOn w:val="Normln"/>
    <w:uiPriority w:val="99"/>
    <w:semiHidden/>
    <w:unhideWhenUsed/>
    <w:rsid w:val="2B5437E5"/>
    <w:pPr>
      <w:spacing w:after="0" w:line="240" w:lineRule="auto"/>
    </w:pPr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2B5437E5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2B5437E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ertification.enisa.europa.eu/publications/eucc-guidelines-authorisation-cabs_en" TargetMode="External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40cb2e-7e41-4e33-8d84-5a47c3cd5204">
      <Terms xmlns="http://schemas.microsoft.com/office/infopath/2007/PartnerControls"/>
    </lcf76f155ced4ddcb4097134ff3c332f>
    <TaxCatchAll xmlns="90158d9c-6c51-4cb4-958a-7646a23bc6b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FE0C75DF93594D9D808244A59C5B64" ma:contentTypeVersion="12" ma:contentTypeDescription="Vytvoří nový dokument" ma:contentTypeScope="" ma:versionID="8cb1c67cba336e5cf93a7187bccf0870">
  <xsd:schema xmlns:xsd="http://www.w3.org/2001/XMLSchema" xmlns:xs="http://www.w3.org/2001/XMLSchema" xmlns:p="http://schemas.microsoft.com/office/2006/metadata/properties" xmlns:ns2="5940cb2e-7e41-4e33-8d84-5a47c3cd5204" xmlns:ns3="90158d9c-6c51-4cb4-958a-7646a23bc6b2" targetNamespace="http://schemas.microsoft.com/office/2006/metadata/properties" ma:root="true" ma:fieldsID="179b45eab0fc45263250e200c2970a33" ns2:_="" ns3:_="">
    <xsd:import namespace="5940cb2e-7e41-4e33-8d84-5a47c3cd5204"/>
    <xsd:import namespace="90158d9c-6c51-4cb4-958a-7646a23bc6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0cb2e-7e41-4e33-8d84-5a47c3cd52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9f4361e7-a7fe-4826-9a1b-7cb0008cdd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58d9c-6c51-4cb4-958a-7646a23bc6b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a37990b-c1b1-42a0-9e10-57766a2c43a3}" ma:internalName="TaxCatchAll" ma:showField="CatchAllData" ma:web="90158d9c-6c51-4cb4-958a-7646a23bc6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67F896-1FD4-4F35-AAF2-FDA5E840C3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607366-61AC-42A4-B43F-7EC5B0040331}">
  <ds:schemaRefs>
    <ds:schemaRef ds:uri="http://schemas.microsoft.com/office/2006/metadata/properties"/>
    <ds:schemaRef ds:uri="http://schemas.microsoft.com/office/infopath/2007/PartnerControls"/>
    <ds:schemaRef ds:uri="5940cb2e-7e41-4e33-8d84-5a47c3cd5204"/>
    <ds:schemaRef ds:uri="90158d9c-6c51-4cb4-958a-7646a23bc6b2"/>
  </ds:schemaRefs>
</ds:datastoreItem>
</file>

<file path=customXml/itemProps3.xml><?xml version="1.0" encoding="utf-8"?>
<ds:datastoreItem xmlns:ds="http://schemas.openxmlformats.org/officeDocument/2006/customXml" ds:itemID="{DD048444-27E7-460F-98E2-4B88EEE5F91D}"/>
</file>

<file path=docMetadata/LabelInfo.xml><?xml version="1.0" encoding="utf-8"?>
<clbl:labelList xmlns:clbl="http://schemas.microsoft.com/office/2020/mipLabelMetadata">
  <clbl:label id="{d0138fd3-fe89-4f37-afdd-65bd30f6e5c1}" enabled="1" method="Privileged" siteId="{f9f8419e-c286-461b-9e6d-0ba6b1d52345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/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8</cp:revision>
  <cp:lastPrinted>2018-03-08T13:46:00Z</cp:lastPrinted>
  <dcterms:created xsi:type="dcterms:W3CDTF">2026-10-30T14:49:00Z</dcterms:created>
  <dcterms:modified xsi:type="dcterms:W3CDTF">2026-11-03T14:44:38Z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0x01010085FE0C75DF93594D9D808244A59C5B64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